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53 vom 5. Mai 1987</w:t>
      </w:r>
    </w:p>
    <w:p>
      <w:r>
        <w:t>Bundesgericht (BGE), 1987-05-05, DE</w:t>
      </w:r>
    </w:p>
    <w:p>
      <w:r>
        <w:rPr>
          <w:b/>
        </w:rPr>
        <w:t xml:space="preserve">Quelle: </w:t>
      </w:r>
      <w:r>
        <w:t>https://mcp.opencaselaw.ch/entscheid/bge_113 IB 53</w:t>
      </w:r>
    </w:p>
    <w:p>
      <w:r>
        <w:t>FR: BGE 113 IB 53 du 5 mai 1987</w:t>
      </w:r>
    </w:p>
    <w:p>
      <w:r>
        <w:t>IT: BGE 113 IB 53 del 5 maggio 1987</w:t>
      </w:r>
    </w:p>
    <w:p>
      <w:pPr>
        <w:pStyle w:val="Heading2"/>
      </w:pPr>
      <w:r>
        <w:t>Regeste</w:t>
      </w:r>
    </w:p>
    <w:p>
      <w:r>
        <w:t>Regeste Führerausweisentzug; analoge Anwendung von Art. 68 StGB auf Administrativmassnahmen. 1. Auf das Verfahren vor den kantonalen Instanzen kommt nicht das VwVG, sondern das kant. Verfahrensrecht zur Anwendung (E. 2). 2. Art. 68 Ziff. 2 StGB ist bei der Festsetzung der Dauer von Führerausweisentzügen analog anzuwenden; eine "Zusatzmassnahme" ist anzuordnen, wenn die neue Verkehrsregelverletzung vor der erstinstanzlichen Entzugsverfügung begangen und allfällige Beschwerden später von der Rechtsmittelinstanz abgewiesen wurden. Sind die massgeblichen Widerhandlungen gegen die Strassenverkehrsgesetzgebung teilweise vor bzw. nach einem früheren erstinstanzlichen Ausweisentzug begangen worden, so kommt nur eine "Gesamtmassnahme" in Betracht; für die Verkehrsregelverletzung, welche zeitlich nach der früheren Massnahmeverfügung liegt, darf dabei die geltende Mindestentzugsdauer nicht unterschritten werden (E. 3).</w:t>
      </w:r>
    </w:p>
    <w:p>
      <w:pPr>
        <w:pStyle w:val="Heading2"/>
      </w:pPr>
      <w:r>
        <w:t>Erwägungen</w:t>
      </w:r>
    </w:p>
    <w:p>
      <w:r>
        <w:rPr>
          <w:b/>
        </w:rPr>
        <w:t>E. 1</w:t>
      </w:r>
    </w:p>
    <w:p>
      <w:r>
        <w:t>Die Vorinstanz begründete die Herabsetzung der erstinstanzlich verfügten Massnahmedauer von sechs Monaten auf zwei Monate mit der sinngemässen Anwendung von Art. 68 Ziff. 2 StGB . Ohne weitere Begründung hielt sie sowohl für den Vorfall vom 15. Oktober 1984 als auch für jenen vom 11. Januar 1985 die Voraussetzungen für eine "Zusatzstrafe" als gegeben. Das Bundesamt für Polizeiwesen macht im wesentlichen geltend, die Vorinstanz verkenne, dass Art. 68 Ziff. 2 StGB nur auf den Vorfall vom 15. Oktober 1984 zur Anwendung komme, nicht aber auf denjenigen vom 11. Januar 1985; da die Widerhandlung vom 11. Januar 1985 nach dem erstinstanzlich am 22. Oktober 1984 angeordneten und später von der Rekurskommission bestätigten Führerausweisentzug begangen worden sei, müsse ein Warnungsentzug im Sinne einer "Gesamtstrafe" verfügt werden; dabei sei von der gesetzlichen Mindestentzugsdauer von sechs Monaten auszugehen. Der Beschwerdegegner wendet gegen die Auffassung des BAP zur Hauptsache nur ein, sie gehe zu Unrecht davon aus, er habe sich am 11. Januar 1985 des Fahrens trotz entzogenem Führerausweis schuldig gemacht; da mit Bezug auf den Vorfall vom 15. Oktober 1984 unbestrittenermassen nur eine "Zusatzmassnahme" in Frage komme, seien die Behörden nicht an die Mindestentzugsdauer gebunden.</w:t>
      </w:r>
    </w:p>
    <w:p>
      <w:r>
        <w:rPr>
          <w:b/>
        </w:rPr>
        <w:t>E. 2</w:t>
      </w:r>
    </w:p>
    <w:p>
      <w:r>
        <w:t>Soweit der Beschwerdegegner unter Hinweis auf Art. 39 VwVG behauptet, der gegen die Verfügung vom 22. Oktober 1984 bei der Rekurskommission eingereichten Beschwerde sei aufschiebende Wirkung zugekommen, geht er fehl. Zum einen kommt auf das Verfahren vor den kantonalen Instanzen nicht das VwVG, sondern das kantonale Verfahrensrecht zur Anwendung (vgl. RDAF 1983 S. 359). Zum andern wurde einer allfälligen Beschwerde in der Entzugsverfügung vom 22. Oktober 1984 in Anwendung von Art. 33 VRPG/BE die aufschiebende Wirkung entzogen. Dass der Beschwerdegegner bei der Rekurskommission um Aufhebung dieser Anordnung nachgesucht hätte, macht er selbst nicht geltend; er wurde denn auch von den zuständigen Gerichten wegen Fahrens am 11. Januar 1985 trotz entzogenem Führerausweis rechtskräftig verurteilt.</w:t>
      </w:r>
    </w:p>
    <w:p>
      <w:r>
        <w:rPr>
          <w:b/>
        </w:rPr>
        <w:t>E. 3</w:t>
      </w:r>
    </w:p>
    <w:p>
      <w:r>
        <w:t>Die Kritik des BAP am angefochtenen Entscheid richtet sich zu Recht nicht gegen die analoge Anwendung von Art. 68 StGB bei der BGE 113 Ib 53 S. 56 Bemessung der Dauer von Administrativmassnahmen. Wie das Bundesgericht in BGE 108 Ib 259 /60 ausführte, ist bei Verwirklichung mehrerer Entzugsgründe durch eine Handlung die Konkurrenzbestimmung des Strafrechts sinngemäss anzuwenden; dasselbe gilt für den Fall, wo durch mehrere Handlungen mehrere Entzugsgründe gesetzt werden bzw. die zu beurteilenden Handlungen noch vor Erlass einer früheren Entzugsverfügung begangen wurden. Die Vorinstanz trifft jedoch der Vorwurf, von einer bundesrechtswidrigen Auslegung von Art. 68 Abs. 2 StGB ausgegangen zu sein. Entgegen ihrer Ansicht kommt auf den Zeitpunkt der Rechtskraft nichts an. Zu einer Zusatzstrafe im Sinne dieser Bestimmung ist der Täter zu verurteilen, wenn er die neue Tat vor der Urteilsfällung begangen hat, unter der Voraussetzung, dass das Urteil später (z.B. nach durchgeführtem Rechtsmittelverfahren) rechtskräftig wird (BGE BGE 102 IV 244 , BGE 109 IV 88 /89). In Fällen, in denen ein nach der Urteilsfällung verübtes Delikt mit Straftaten zusammentrifft, die vor der Urteilsfällung begangen wurden, ist nicht eine Zusatz-, sondern eine Gesamtstrafe auszufällen ( BGE 109 IV 88 /89). Übertragen auf den Warnungsentzug bedeutet dies, dass eine "Zusatz"-Massnahme nur anzuordnen ist, wenn die neuen Verkehrsregelverletzungen vor der erstinstanzlichen Entzugsverfügung begangen und allfällige Beschwerden später von den Rechtsmittelinstanzen abgewiesen wurden. In concreto ordnete das Strassenverkehrsamt den Führerausweisentzug erstinstanzlich am 22. Oktober 1984 an; diese Verfügung wurde mit Entscheid der Rekurskommission vom 24. März 1986 bestätigt. Die Anordnung einer "Zusatz"-Massnahme mit Bezug auf den Vorfall vom 11. Januar 1985 war somit ausgeschlossen. Unter diesen Umständen war die Vorinstanz an die in Art. 17 Abs. 1 lit. c SVG vorgeschriebene Mindestentzugsdauer von sechs Monaten gebunden. Daran ändert nichts, dass gleichzeitig auch über die Anordnung einer Verwaltungsmassnahme für eine vor dem 22. Oktober 1984 liegende Verkehrsregelverletzung zu entscheiden war; im Rahmen einer Gesamtbeurteilung konnte dem Umstand Rechnung getragen werden, dass diese Widerhandlung noch vor der ersten Entzugsverfügung begangen worden war und, für sich allein beurteilt, nur Anlass für eine "Zusatz"-Massnahme gegeben hätte.</w:t>
      </w:r>
    </w:p>
    <w:p>
      <w:r>
        <w:rPr>
          <w:b/>
        </w:rPr>
        <w:t>E. 4</w:t>
      </w:r>
    </w:p>
    <w:p>
      <w:r>
        <w:t>Der vorinstanzliche Entscheid erweist sich demnach insoweit als bundesrechtswidrig und ist deshalb aufzuheben. Da das Bundesamt für BGE 113 Ib 53 S. 57 Polizeiwesen - entsprechend der erstinstanzlichen Verfügung vom 4. August 1986 - keinen über die gesetzliche Minimaldauer hinausgehenden Warnungsentzug beantragt hat und im übrigen eine solche Entzugsdauer auch angemessen erscheint, kann das Bundesgericht auf eine Rückweisung an die Vorinstanz verzichten und selbst den Ausweisentzug von sechs Monaten anordnen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